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88881" w14:textId="542A7A16" w:rsidR="00FF7AFC" w:rsidRPr="00FF7AFC" w:rsidRDefault="00FF7AFC" w:rsidP="00FF7AFC">
      <w:pPr>
        <w:pStyle w:val="NormalnyWeb"/>
        <w:jc w:val="right"/>
        <w:rPr>
          <w:color w:val="000000"/>
        </w:rPr>
      </w:pPr>
      <w:r w:rsidRPr="00FF7AFC">
        <w:rPr>
          <w:color w:val="000000"/>
        </w:rPr>
        <w:t>26 listopada 2025 r.</w:t>
      </w:r>
    </w:p>
    <w:p w14:paraId="77A55D8E" w14:textId="207179BC" w:rsidR="00FF7AFC" w:rsidRPr="00FF7AFC" w:rsidRDefault="00FF7AFC" w:rsidP="00FF7AFC">
      <w:pPr>
        <w:pStyle w:val="NormalnyWeb"/>
        <w:jc w:val="center"/>
        <w:rPr>
          <w:b/>
          <w:bCs/>
          <w:color w:val="000000"/>
        </w:rPr>
      </w:pPr>
      <w:r w:rsidRPr="00FF7AFC">
        <w:rPr>
          <w:b/>
          <w:bCs/>
          <w:color w:val="000000"/>
        </w:rPr>
        <w:t>KOMUNIKAT PRASOWY</w:t>
      </w:r>
    </w:p>
    <w:p w14:paraId="2BCF3403" w14:textId="4C5A9A2E" w:rsidR="00FF7AFC" w:rsidRPr="00FF7AFC" w:rsidRDefault="00FF7AFC" w:rsidP="00FF7AFC">
      <w:pPr>
        <w:pStyle w:val="NormalnyWeb"/>
        <w:rPr>
          <w:b/>
          <w:bCs/>
          <w:color w:val="000000"/>
          <w:sz w:val="28"/>
          <w:szCs w:val="28"/>
        </w:rPr>
      </w:pPr>
      <w:r w:rsidRPr="00FF7AFC">
        <w:rPr>
          <w:b/>
          <w:bCs/>
          <w:color w:val="000000"/>
          <w:sz w:val="28"/>
          <w:szCs w:val="28"/>
        </w:rPr>
        <w:t xml:space="preserve">Profilaktyka raka piersi do pilnej naprawy. Senat </w:t>
      </w:r>
      <w:r>
        <w:rPr>
          <w:b/>
          <w:bCs/>
          <w:color w:val="000000"/>
          <w:sz w:val="28"/>
          <w:szCs w:val="28"/>
        </w:rPr>
        <w:t>przeanalizował</w:t>
      </w:r>
      <w:r w:rsidRPr="00FF7AFC">
        <w:rPr>
          <w:b/>
          <w:bCs/>
          <w:color w:val="000000"/>
          <w:sz w:val="28"/>
          <w:szCs w:val="28"/>
        </w:rPr>
        <w:t xml:space="preserve"> raporty Polskiego Towarzystwa Onkologicznego</w:t>
      </w:r>
    </w:p>
    <w:p w14:paraId="56BA8655" w14:textId="47D8A86E" w:rsidR="00FF7AFC" w:rsidRPr="00FF7AFC" w:rsidRDefault="00FF7AFC" w:rsidP="00FF7AFC">
      <w:pPr>
        <w:pStyle w:val="NormalnyWeb"/>
        <w:rPr>
          <w:b/>
          <w:bCs/>
          <w:color w:val="000000"/>
        </w:rPr>
      </w:pPr>
      <w:r>
        <w:rPr>
          <w:b/>
          <w:bCs/>
          <w:color w:val="000000"/>
        </w:rPr>
        <w:t>W</w:t>
      </w:r>
      <w:r w:rsidRPr="00FF7AFC">
        <w:rPr>
          <w:b/>
          <w:bCs/>
          <w:color w:val="000000"/>
        </w:rPr>
        <w:t xml:space="preserve"> Senacie </w:t>
      </w:r>
      <w:r>
        <w:rPr>
          <w:b/>
          <w:bCs/>
          <w:color w:val="000000"/>
        </w:rPr>
        <w:t xml:space="preserve">RP </w:t>
      </w:r>
      <w:r w:rsidRPr="00FF7AFC">
        <w:rPr>
          <w:b/>
          <w:bCs/>
          <w:color w:val="000000"/>
        </w:rPr>
        <w:t xml:space="preserve">zaprezentowano dwa nowe raporty Polskiego Towarzystwa Onkologicznego, które szczegółowo opisują przyczyny niskiej zgłaszalności na mammografię i przedstawiają gotowe do wdrożenia rozwiązania systemowe. Eksperci, administracja publiczna oraz organizacje </w:t>
      </w:r>
      <w:proofErr w:type="spellStart"/>
      <w:r w:rsidRPr="00FF7AFC">
        <w:rPr>
          <w:b/>
          <w:bCs/>
          <w:color w:val="000000"/>
        </w:rPr>
        <w:t>pacjenckie</w:t>
      </w:r>
      <w:proofErr w:type="spellEnd"/>
      <w:r w:rsidRPr="00FF7AFC">
        <w:rPr>
          <w:b/>
          <w:bCs/>
          <w:color w:val="000000"/>
        </w:rPr>
        <w:t xml:space="preserve"> podkreślili, że Polska znajduje się wśród krajów UE o najwyższej umieralności z powodu raka piersi, a wykorzystanie potencjału medycyny pracy oraz narzędzi cyfrowych </w:t>
      </w:r>
      <w:r>
        <w:rPr>
          <w:b/>
          <w:bCs/>
          <w:color w:val="000000"/>
        </w:rPr>
        <w:t xml:space="preserve">i personalizowanych zaproszeń </w:t>
      </w:r>
      <w:r w:rsidRPr="00FF7AFC">
        <w:rPr>
          <w:b/>
          <w:bCs/>
          <w:color w:val="000000"/>
        </w:rPr>
        <w:t>może odwrócić ten trend.</w:t>
      </w:r>
    </w:p>
    <w:p w14:paraId="02115167" w14:textId="568946F3" w:rsidR="00FF7AFC" w:rsidRDefault="00FF7AFC" w:rsidP="00FF7AFC">
      <w:pPr>
        <w:pStyle w:val="NormalnyWeb"/>
        <w:rPr>
          <w:color w:val="000000"/>
        </w:rPr>
      </w:pPr>
      <w:r>
        <w:rPr>
          <w:color w:val="000000"/>
        </w:rPr>
        <w:t xml:space="preserve">25 listopada 2025 r. w Senacie RP odbyło się posiedzenie Senackiej Komisji Zdrowia poświęcone analizie dwóch nowych raportów Polskiego Towarzystwa Onkologicznego, </w:t>
      </w:r>
      <w:r w:rsidRPr="00FF7AFC">
        <w:rPr>
          <w:color w:val="000000"/>
        </w:rPr>
        <w:t>które obejmują dogłębną analizę epidemiologiczną, ocenę efektywności dotychczasowych działań, przegląd barier organizacyjnych</w:t>
      </w:r>
      <w:r>
        <w:rPr>
          <w:color w:val="000000"/>
        </w:rPr>
        <w:t xml:space="preserve"> i</w:t>
      </w:r>
      <w:r w:rsidRPr="00FF7AFC">
        <w:rPr>
          <w:color w:val="000000"/>
        </w:rPr>
        <w:t xml:space="preserve"> prawnych oraz propozycje integracji działań POZ, medycyny pracy, systemów cyfrowych i mobilnej diagnostyki. Dokumenty przedstawiają pełen pakiet rekomendacji – od przywrócenia imiennych zaproszeń</w:t>
      </w:r>
      <w:r>
        <w:rPr>
          <w:color w:val="000000"/>
        </w:rPr>
        <w:t xml:space="preserve"> na badania przesiewowe</w:t>
      </w:r>
      <w:r w:rsidRPr="00FF7AFC">
        <w:rPr>
          <w:color w:val="000000"/>
        </w:rPr>
        <w:t xml:space="preserve">, przez wykorzystanie narzędzi </w:t>
      </w:r>
      <w:proofErr w:type="spellStart"/>
      <w:r w:rsidRPr="00FF7AFC">
        <w:rPr>
          <w:color w:val="000000"/>
        </w:rPr>
        <w:t>mObywatel</w:t>
      </w:r>
      <w:proofErr w:type="spellEnd"/>
      <w:r w:rsidRPr="00FF7AFC">
        <w:rPr>
          <w:color w:val="000000"/>
        </w:rPr>
        <w:t xml:space="preserve"> i IKP, po włączenie profilaktyki do rutynowych badań pracowniczych – tworząc najbardziej kompleksową wizję modernizacji profilaktyki raka piersi w Polsce.</w:t>
      </w:r>
    </w:p>
    <w:p w14:paraId="766C2C9B" w14:textId="429777B1" w:rsidR="00FF7AFC" w:rsidRDefault="00FF7AFC" w:rsidP="00FF7AFC">
      <w:pPr>
        <w:pStyle w:val="NormalnyWeb"/>
        <w:rPr>
          <w:color w:val="000000"/>
        </w:rPr>
      </w:pPr>
      <w:r>
        <w:rPr>
          <w:color w:val="000000"/>
        </w:rPr>
        <w:t xml:space="preserve">W obradach uczestniczyli reprezentanci administracji publicznej, środowiska medycznego i organizacji </w:t>
      </w:r>
      <w:proofErr w:type="spellStart"/>
      <w:r>
        <w:rPr>
          <w:color w:val="000000"/>
        </w:rPr>
        <w:t>pacjenckich</w:t>
      </w:r>
      <w:proofErr w:type="spellEnd"/>
      <w:r>
        <w:rPr>
          <w:color w:val="000000"/>
        </w:rPr>
        <w:t xml:space="preserve">, m.in. wiceminister zdrowia Katarzyna Kęcka, dyrektor Centrum e-Zdrowia Adam Konka, zastępca dyrektora Departamentu Lecznictwa Dominika Janiszewska-Kajka, prezes PTO prof. Piotr Rutkowski, dr hab. Paweł </w:t>
      </w:r>
      <w:proofErr w:type="spellStart"/>
      <w:r>
        <w:rPr>
          <w:color w:val="000000"/>
        </w:rPr>
        <w:t>Koczkodaj</w:t>
      </w:r>
      <w:proofErr w:type="spellEnd"/>
      <w:r>
        <w:rPr>
          <w:color w:val="000000"/>
        </w:rPr>
        <w:t xml:space="preserve">, dr Artur </w:t>
      </w:r>
      <w:proofErr w:type="spellStart"/>
      <w:r>
        <w:rPr>
          <w:color w:val="000000"/>
        </w:rPr>
        <w:t>Fałek</w:t>
      </w:r>
      <w:proofErr w:type="spellEnd"/>
      <w:r>
        <w:rPr>
          <w:color w:val="000000"/>
        </w:rPr>
        <w:t xml:space="preserve">, dr Janusz </w:t>
      </w:r>
      <w:proofErr w:type="spellStart"/>
      <w:r>
        <w:rPr>
          <w:color w:val="000000"/>
        </w:rPr>
        <w:t>Meder</w:t>
      </w:r>
      <w:proofErr w:type="spellEnd"/>
      <w:r>
        <w:rPr>
          <w:color w:val="000000"/>
        </w:rPr>
        <w:t xml:space="preserve">. Spotkanie poprowadziła przewodnicząca Komisji, Senator Beata </w:t>
      </w:r>
      <w:proofErr w:type="spellStart"/>
      <w:r>
        <w:rPr>
          <w:color w:val="000000"/>
        </w:rPr>
        <w:t>Małecka-Libera</w:t>
      </w:r>
      <w:proofErr w:type="spellEnd"/>
      <w:r>
        <w:rPr>
          <w:color w:val="000000"/>
        </w:rPr>
        <w:t xml:space="preserve">. </w:t>
      </w:r>
    </w:p>
    <w:p w14:paraId="2EF83025" w14:textId="77777777" w:rsidR="00FF7AFC" w:rsidRDefault="00FF7AFC" w:rsidP="00FF7AFC">
      <w:pPr>
        <w:pStyle w:val="NormalnyWeb"/>
        <w:rPr>
          <w:color w:val="000000"/>
        </w:rPr>
      </w:pPr>
      <w:r>
        <w:rPr>
          <w:color w:val="000000"/>
        </w:rPr>
        <w:t>Dyskusję otworzył prof. Piotr Rutkowski, przedstawiając najważniejsze założenia obu raportów oraz skalę wyzwań związanych z rakiem piersi, który pozostaje najczęstszym nowotworem kobiet i odpowiada za około 15 procent zgonów onkologicznych. Podkreślił, że kluczowym problemem jest nadal zbyt późne wykrywanie choroby, co przekłada się na niższe wskaźniki przeżyć w porównaniu z krajami Unii Europejskiej. Wskazał również, że roczne koszty leczenia raka piersi przekraczają 250 milionów euro, natomiast inwestycje w mammografię przesiewową przynoszą wielokrotny zwrot społeczno-ekonomiczny.</w:t>
      </w:r>
    </w:p>
    <w:p w14:paraId="79746ACE" w14:textId="77777777" w:rsidR="00EF4539" w:rsidRDefault="00EF4539" w:rsidP="00EF4539">
      <w:pPr>
        <w:pStyle w:val="NormalnyWeb"/>
        <w:rPr>
          <w:color w:val="000000"/>
        </w:rPr>
      </w:pPr>
      <w:r>
        <w:rPr>
          <w:rStyle w:val="Pogrubienie"/>
          <w:rFonts w:eastAsiaTheme="majorEastAsia"/>
          <w:color w:val="000000"/>
        </w:rPr>
        <w:t>Najszersza diagnoza systemu od lat: co pokazują raporty PTO?</w:t>
      </w:r>
    </w:p>
    <w:p w14:paraId="1451E807" w14:textId="5697D525" w:rsidR="00FF7AFC" w:rsidRDefault="00FF7AFC" w:rsidP="00FF7AFC">
      <w:pPr>
        <w:pStyle w:val="NormalnyWeb"/>
        <w:jc w:val="both"/>
        <w:rPr>
          <w:color w:val="000000"/>
        </w:rPr>
      </w:pPr>
      <w:r>
        <w:rPr>
          <w:color w:val="000000"/>
        </w:rPr>
        <w:t>Pierwszy raport pt. „</w:t>
      </w:r>
      <w:r w:rsidRPr="00FF7AFC">
        <w:rPr>
          <w:i/>
          <w:iCs/>
          <w:color w:val="000000"/>
        </w:rPr>
        <w:t>Profilaktyka raka piersi. Zwiększenie uczestnictwa w mammografii: diagnoza problemu i propozycje działań</w:t>
      </w:r>
      <w:r>
        <w:rPr>
          <w:color w:val="000000"/>
        </w:rPr>
        <w:t xml:space="preserve">”, przygotowany przez dr. hab. Pawła </w:t>
      </w:r>
      <w:proofErr w:type="spellStart"/>
      <w:r>
        <w:rPr>
          <w:color w:val="000000"/>
        </w:rPr>
        <w:t>Koczkodaja</w:t>
      </w:r>
      <w:proofErr w:type="spellEnd"/>
      <w:r>
        <w:rPr>
          <w:color w:val="000000"/>
        </w:rPr>
        <w:t xml:space="preserve">, przedstawia aktualne dane epidemiologiczne oraz analizuje bariery uczestnictwa kobiet w programie przesiewowym. Według danych GLOBOCAN 2022 w Polsce w 2022 roku odnotowano ponad 21,5 tysiąca nowych </w:t>
      </w:r>
      <w:proofErr w:type="spellStart"/>
      <w:r>
        <w:rPr>
          <w:color w:val="000000"/>
        </w:rPr>
        <w:t>zachorowań</w:t>
      </w:r>
      <w:proofErr w:type="spellEnd"/>
      <w:r>
        <w:rPr>
          <w:color w:val="000000"/>
        </w:rPr>
        <w:t xml:space="preserve">, a kraj znajduje się w grupie państw UE o najwyższej umieralności. Zgłaszalność na mammografię wynosi obecnie zaledwie 33,8 proc., </w:t>
      </w:r>
      <w:r>
        <w:rPr>
          <w:color w:val="000000"/>
        </w:rPr>
        <w:lastRenderedPageBreak/>
        <w:t xml:space="preserve">podczas gdy minimalny poziom konieczny dla osiągnięcia efektu populacyjnego to 70 proc. W raporcie wskazano, że kluczowe bariery obejmują brak imiennego systemu zaproszeń, który został zawieszony w 2017 roku, niską świadomość potrzeby regularnych badań oraz niedostateczne kierowanie pacjentek przez lekarzy. Załączona do raportu opinia prawna potwierdza, że przepisy RODO nie stanowią przeszkody do ponownego uruchomienia systemu imiennych zaproszeń. Zwrócono także uwagę, że ograniczona skuteczność kampanii medialnych nie pozwala przełamać negatywnych trendów. Dr hab. </w:t>
      </w:r>
      <w:proofErr w:type="spellStart"/>
      <w:r>
        <w:rPr>
          <w:color w:val="000000"/>
        </w:rPr>
        <w:t>Koczkodaj</w:t>
      </w:r>
      <w:proofErr w:type="spellEnd"/>
      <w:r>
        <w:rPr>
          <w:color w:val="000000"/>
        </w:rPr>
        <w:t xml:space="preserve"> zaakcentował również szczególną rolę medycyny pracy jako niewykorzystanego dotąd narzędzia mogącego istotnie podnieść zgłaszalność na badania przesiewowe. Lekarz medycyny pracy, dysponując wiedzą o wieku pacjentki, mógłby każdorazowo zweryfikować aktualność mammografii i wystawić skierowanie podczas rutynowych badań. W jego ocenie, połączenie tego potencjału z pełną integracją cyfrową oraz wykorzystaniem mammobusów, które realizują ponad połowę badań w Polsce, mogłoby znacząco zwiększyć uczestnictwo w programie.</w:t>
      </w:r>
    </w:p>
    <w:p w14:paraId="253F02EE" w14:textId="5D739902" w:rsidR="00FF7AFC" w:rsidRDefault="00FF7AFC" w:rsidP="00FF7AFC">
      <w:pPr>
        <w:pStyle w:val="NormalnyWeb"/>
        <w:rPr>
          <w:color w:val="000000"/>
        </w:rPr>
      </w:pPr>
      <w:r>
        <w:rPr>
          <w:color w:val="000000"/>
        </w:rPr>
        <w:t>Drugi raport</w:t>
      </w:r>
      <w:r w:rsidR="00C875E9">
        <w:rPr>
          <w:color w:val="000000"/>
        </w:rPr>
        <w:t xml:space="preserve"> pt.”</w:t>
      </w:r>
      <w:r w:rsidR="00C875E9" w:rsidRPr="00C875E9">
        <w:rPr>
          <w:i/>
          <w:iCs/>
          <w:color w:val="000000"/>
        </w:rPr>
        <w:t>Ekspertyza w zakresie dysfunkcjonalności systemu oraz rozwiązań prawnych i zmian organizacji udzielania świadczeń prowadzących do wzrostu ilości wykonywanych badań i poprawy koordynacji udzielania świadczeń w profilaktyce raka piers</w:t>
      </w:r>
      <w:r w:rsidR="00C875E9" w:rsidRPr="00C875E9">
        <w:rPr>
          <w:color w:val="000000"/>
        </w:rPr>
        <w:t>i</w:t>
      </w:r>
      <w:r w:rsidR="00C875E9">
        <w:rPr>
          <w:color w:val="000000"/>
        </w:rPr>
        <w:t>”</w:t>
      </w:r>
      <w:r>
        <w:rPr>
          <w:color w:val="000000"/>
        </w:rPr>
        <w:t xml:space="preserve">, opracowany przez dr. Artura </w:t>
      </w:r>
      <w:proofErr w:type="spellStart"/>
      <w:r>
        <w:rPr>
          <w:color w:val="000000"/>
        </w:rPr>
        <w:t>Fałka</w:t>
      </w:r>
      <w:proofErr w:type="spellEnd"/>
      <w:r>
        <w:rPr>
          <w:color w:val="000000"/>
        </w:rPr>
        <w:t>, skupia się na praktycznych rozwiązaniach dotyczących włączenia badań profilaktycznych do systemu medycyny pracy. Autor ocenia, że obecny stan uczestnictwa kobiet w badaniach – około 35 procent – jest niewystarczający, a populacja pracownicza charakteryzuje się dużą niejednorodnością w zakresie gotowości do udziału w profilaktyce. Zwrócił uwagę, że po zmianach Kodeksu Pracy w 2023 roku kierowanie pracownic na mammografię wymaga ich zgody, co w jego ocenie ogranicza możliwości systemowe. Raport rekomenduje usunięcie wymogu zgody oraz zrównanie skierowania na mammografię z obowiązkowymi badaniami okresowymi wykonywanymi w godzinach pracy, wraz z zachowaniem wynagrodzenia i możliwością zwrotu kosztów dojazdu.</w:t>
      </w:r>
    </w:p>
    <w:p w14:paraId="7D601948" w14:textId="3F3F644E" w:rsidR="00FF7AFC" w:rsidRDefault="00FF7AFC" w:rsidP="00FF7AFC">
      <w:pPr>
        <w:pStyle w:val="NormalnyWeb"/>
        <w:rPr>
          <w:color w:val="000000"/>
        </w:rPr>
      </w:pPr>
      <w:r>
        <w:rPr>
          <w:color w:val="000000"/>
        </w:rPr>
        <w:t xml:space="preserve">Dr Artur </w:t>
      </w:r>
      <w:proofErr w:type="spellStart"/>
      <w:r>
        <w:rPr>
          <w:color w:val="000000"/>
        </w:rPr>
        <w:t>Fałek</w:t>
      </w:r>
      <w:proofErr w:type="spellEnd"/>
      <w:r>
        <w:rPr>
          <w:color w:val="000000"/>
        </w:rPr>
        <w:t xml:space="preserve"> podkreślił, że obowiązujące przepisy już dziś nakładają na medycynę pracy konieczność sprawozdawania świadczeń profilaktycznych do systemu P1 - problemem pozostają jedynie zaniedbania organizacyjne. Wskazał też na szersze bariery systemowe, takie jak niski poziom edukacji zdrowotnej, niewystarczająca rola POZ w profilaktyce onkologicznej, zbyt wysoki próg nagród motywacyjnych dla lekarzy rodzinnych oraz wyjątkowo niskie finansowanie działań profilaktycznych w Polsce, które wynosi 1,9 procent wydatków zdrowotnych wobec prawie 8 procent w Niemczech. W raporcie zaproponowano m.in. wzmocnienie narzędzi motywujących lekarzy, rozwój współpracy z Krajową Siecią Onkologiczną oraz wykorzystanie doświadczeń krajów o wysokiej zgłaszalności, takich jak Słowenia, Estonia czy Czechy.</w:t>
      </w:r>
    </w:p>
    <w:p w14:paraId="663D7028" w14:textId="3502BA94" w:rsidR="00EF4539" w:rsidRDefault="00EF4539" w:rsidP="00FF7AFC">
      <w:pPr>
        <w:pStyle w:val="NormalnyWeb"/>
        <w:rPr>
          <w:color w:val="000000"/>
        </w:rPr>
      </w:pPr>
      <w:r>
        <w:rPr>
          <w:rStyle w:val="Pogrubienie"/>
          <w:rFonts w:eastAsiaTheme="majorEastAsia"/>
          <w:color w:val="000000"/>
        </w:rPr>
        <w:t>Piętnaście kroków do naprawy systemu – bez zmiany ustaw</w:t>
      </w:r>
    </w:p>
    <w:p w14:paraId="6AB6E187" w14:textId="5F8145AD" w:rsidR="00FF7AFC" w:rsidRDefault="00FF7AFC" w:rsidP="00FF7AFC">
      <w:pPr>
        <w:pStyle w:val="NormalnyWeb"/>
        <w:rPr>
          <w:color w:val="000000"/>
        </w:rPr>
      </w:pPr>
      <w:r>
        <w:rPr>
          <w:color w:val="000000"/>
        </w:rPr>
        <w:t xml:space="preserve">Podsumowując oba raporty, prof. Rutkowski przedstawił zestaw piętnastu działań możliwych do wdrożenia bez konieczności zmian ustawowych, w tym pełne wykorzystanie Internetowego Konta Pacjenta, aplikacji </w:t>
      </w:r>
      <w:proofErr w:type="spellStart"/>
      <w:r>
        <w:rPr>
          <w:color w:val="000000"/>
        </w:rPr>
        <w:t>mObywatel</w:t>
      </w:r>
      <w:proofErr w:type="spellEnd"/>
      <w:r>
        <w:rPr>
          <w:color w:val="000000"/>
        </w:rPr>
        <w:t xml:space="preserve"> i platformy „Moje Zdrowie”, a także integrację medycyny pracy z systemami P1 i </w:t>
      </w:r>
      <w:r w:rsidR="00EF4539">
        <w:rPr>
          <w:color w:val="000000"/>
        </w:rPr>
        <w:t>SIM</w:t>
      </w:r>
      <w:r>
        <w:rPr>
          <w:color w:val="000000"/>
        </w:rPr>
        <w:t xml:space="preserve">. Podkreślił, że spójne raportowanie danych profilaktycznych oraz większe zaangażowanie pracodawców w działania prozdrowotne stanowi warunek poprawy obecnej sytuacji. Zwrócił także uwagę na konieczność </w:t>
      </w:r>
      <w:r>
        <w:rPr>
          <w:color w:val="000000"/>
        </w:rPr>
        <w:lastRenderedPageBreak/>
        <w:t>optymalizacji mobilnej sieci mammobusów, które pozostają filarem dostępności badań w wielu regionach kraju.</w:t>
      </w:r>
    </w:p>
    <w:p w14:paraId="35CCAEBB" w14:textId="0C50A146" w:rsidR="00EF4539" w:rsidRDefault="00EF4539" w:rsidP="00FF7AFC">
      <w:pPr>
        <w:pStyle w:val="NormalnyWeb"/>
        <w:rPr>
          <w:color w:val="000000"/>
        </w:rPr>
      </w:pPr>
      <w:r>
        <w:rPr>
          <w:rStyle w:val="Pogrubienie"/>
          <w:rFonts w:eastAsiaTheme="majorEastAsia"/>
          <w:color w:val="000000"/>
        </w:rPr>
        <w:t>Senat: czas skończyć z równoległymi systemami ochrony zdrowia</w:t>
      </w:r>
    </w:p>
    <w:p w14:paraId="04F6FA59" w14:textId="77777777" w:rsidR="00FF7AFC" w:rsidRDefault="00FF7AFC" w:rsidP="00FF7AFC">
      <w:pPr>
        <w:pStyle w:val="NormalnyWeb"/>
        <w:rPr>
          <w:color w:val="000000"/>
        </w:rPr>
      </w:pPr>
      <w:r>
        <w:rPr>
          <w:color w:val="000000"/>
        </w:rPr>
        <w:t xml:space="preserve">W trakcie dyskusji senator Beata </w:t>
      </w:r>
      <w:proofErr w:type="spellStart"/>
      <w:r>
        <w:rPr>
          <w:color w:val="000000"/>
        </w:rPr>
        <w:t>Małecka-Libera</w:t>
      </w:r>
      <w:proofErr w:type="spellEnd"/>
      <w:r>
        <w:rPr>
          <w:color w:val="000000"/>
        </w:rPr>
        <w:t xml:space="preserve"> zaznaczyła, że mimo wieloletnich zapowiedzi integracja medycyny pracy z podstawową opieką zdrowotną wciąż nie została wdrożona. Odwołała się do wcześniejszych prób powiązania badań okresowych z cytologią, które nie zostały utrzymane ze względu na obawy części kobiet. W jej ocenie Ministerstwo Zdrowia powinno przejąć inicjatywę i wykorzystać potencjał medycyny pracy w szeroko rozumianej profilaktyce, zwłaszcza że obecny model funkcjonuje całkowicie odrębnie od POZ. Senator zapowiedziała również projekt „Moja Profilaktyka”, zakładający spersonalizowany plan badań na całe życie oraz indywidualną edukację zdrowotną.</w:t>
      </w:r>
    </w:p>
    <w:p w14:paraId="00A7D05F" w14:textId="48E2DA2C" w:rsidR="00EF4539" w:rsidRPr="00EF4539" w:rsidRDefault="00EF4539" w:rsidP="00FF7AFC">
      <w:pPr>
        <w:pStyle w:val="NormalnyWeb"/>
        <w:rPr>
          <w:b/>
          <w:bCs/>
          <w:color w:val="000000"/>
        </w:rPr>
      </w:pPr>
      <w:r>
        <w:rPr>
          <w:b/>
          <w:bCs/>
          <w:color w:val="000000"/>
        </w:rPr>
        <w:t>M</w:t>
      </w:r>
      <w:r w:rsidRPr="00EF4539">
        <w:rPr>
          <w:b/>
          <w:bCs/>
          <w:color w:val="000000"/>
        </w:rPr>
        <w:t>ilion SMS-ów wystarczyło, by ruszyć statystyki</w:t>
      </w:r>
    </w:p>
    <w:p w14:paraId="2116727D" w14:textId="41D8A253" w:rsidR="00EF4539" w:rsidRDefault="00FF7AFC" w:rsidP="00FF7AFC">
      <w:pPr>
        <w:pStyle w:val="NormalnyWeb"/>
        <w:rPr>
          <w:color w:val="000000"/>
        </w:rPr>
      </w:pPr>
      <w:r>
        <w:rPr>
          <w:color w:val="000000"/>
        </w:rPr>
        <w:t xml:space="preserve">Przedstawiciele administracji publicznej podkreślili gotowość do współpracy i wdrażania rozwiązań proponowanych w raportach. Dyrektor Adam Konka wskazał, że cyfryzacja systemu zdrowia jest jednym z priorytetów rządu, a prace nad narzędziami onkologicznymi – w tym rozwój e-DILO oraz rozbudowa funkcjonalności aplikacji </w:t>
      </w:r>
      <w:proofErr w:type="spellStart"/>
      <w:r>
        <w:rPr>
          <w:color w:val="000000"/>
        </w:rPr>
        <w:t>mObywatel</w:t>
      </w:r>
      <w:proofErr w:type="spellEnd"/>
      <w:r>
        <w:rPr>
          <w:color w:val="000000"/>
        </w:rPr>
        <w:t xml:space="preserve"> – są realizowane zgodnie z harmonogramem. Z kolei Dominika Janiszewska-Kajka poinformowała, że wysyłka blisko miliona wiadomości SMS i ponad 650 tysięcy powiadomień PUSH z linkiem do rejestracji na mammografię przyniosła wyraźny wzrost zgłaszalności. Wskazała również, że barierą dla większego udziału medycyny pracy pozostają społeczne obawy kobiet dotyczące potencjalnych reakcji pracodawców na wyniki badań, mimo że pracodawcy nie mają do nich dostępu.</w:t>
      </w:r>
    </w:p>
    <w:p w14:paraId="3CC55678" w14:textId="536CB858" w:rsidR="00EF4539" w:rsidRDefault="00EF4539" w:rsidP="00FF7AFC">
      <w:pPr>
        <w:pStyle w:val="NormalnyWeb"/>
        <w:rPr>
          <w:color w:val="000000"/>
        </w:rPr>
      </w:pPr>
      <w:r>
        <w:rPr>
          <w:rStyle w:val="Pogrubienie"/>
          <w:rFonts w:eastAsiaTheme="majorEastAsia"/>
          <w:color w:val="000000"/>
        </w:rPr>
        <w:t>Kluczowe decyzje przed Ministerstwem Zdrowia. Raporty PTO jako plan naprawczy</w:t>
      </w:r>
    </w:p>
    <w:p w14:paraId="12B88E48" w14:textId="254FDBBA" w:rsidR="00FF7AFC" w:rsidRDefault="00FF7AFC" w:rsidP="00FF7AFC">
      <w:pPr>
        <w:pStyle w:val="NormalnyWeb"/>
        <w:rPr>
          <w:color w:val="000000"/>
        </w:rPr>
      </w:pPr>
      <w:r>
        <w:rPr>
          <w:color w:val="000000"/>
        </w:rPr>
        <w:t>W końcowej części posiedzenia podkreślono, że raporty PTO stanowią najbardziej aktualny i kompletny materiał analityczny dotyczący profilaktyki raka piersi i powinny zostać wykorzystane jako kierunkowy dokument dla Ministerstwa Zdrowia oraz Narodowego Funduszu Zdrowia. Komisja zapowiedziała powrót do tematu na początku 2026 roku, aby przedstawić efekty wdrażania rekomendacji. Zwrócono również uwagę na konieczność dogłębnej analizy różnic w zgłaszalności – nie tylko między regionami, ale także w obrębie dużych miast</w:t>
      </w:r>
      <w:r w:rsidR="00EF4539">
        <w:rPr>
          <w:color w:val="000000"/>
        </w:rPr>
        <w:t>.</w:t>
      </w:r>
    </w:p>
    <w:p w14:paraId="4D371282" w14:textId="77777777" w:rsidR="00FF7AFC" w:rsidRDefault="00FF7AFC" w:rsidP="00FF7AFC">
      <w:pPr>
        <w:pStyle w:val="NormalnyWeb"/>
        <w:rPr>
          <w:color w:val="000000"/>
        </w:rPr>
      </w:pPr>
      <w:r>
        <w:rPr>
          <w:color w:val="000000"/>
        </w:rPr>
        <w:t>Posiedzenie zakończono podkreśleniem, że poprawa profilaktyki raka piersi wymaga jednoczesnych działań systemowych, legislacyjnych i organizacyjnych, w tym pełnego wykorzystania narzędzi cyfrowych, integracji medycyny pracy z POZ oraz kontynuacji skutecznych działań komunikacyjnych kierowanych bezpośrednio do kobiet. Raporty PTO mają w tym procesie pełnić rolę strategicznego drogowskazu.</w:t>
      </w:r>
    </w:p>
    <w:p w14:paraId="5F2CA8B7" w14:textId="77777777" w:rsidR="000B17B8" w:rsidRDefault="000B17B8"/>
    <w:sectPr w:rsidR="000B17B8" w:rsidSect="00FF7AFC">
      <w:headerReference w:type="default" r:id="rId6"/>
      <w:pgSz w:w="11906" w:h="16838"/>
      <w:pgMar w:top="1417" w:right="1417" w:bottom="1417" w:left="1417" w:header="45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2170F4" w14:textId="77777777" w:rsidR="00DA6BB7" w:rsidRDefault="00DA6BB7" w:rsidP="00FF7AFC">
      <w:pPr>
        <w:spacing w:after="0" w:line="240" w:lineRule="auto"/>
      </w:pPr>
      <w:r>
        <w:separator/>
      </w:r>
    </w:p>
  </w:endnote>
  <w:endnote w:type="continuationSeparator" w:id="0">
    <w:p w14:paraId="0EDA6ABF" w14:textId="77777777" w:rsidR="00DA6BB7" w:rsidRDefault="00DA6BB7" w:rsidP="00FF7A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altName w:val="Times New Roman PSMT"/>
    <w:panose1 w:val="02020603050405020304"/>
    <w:charset w:val="EE"/>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DDFF24" w14:textId="77777777" w:rsidR="00DA6BB7" w:rsidRDefault="00DA6BB7" w:rsidP="00FF7AFC">
      <w:pPr>
        <w:spacing w:after="0" w:line="240" w:lineRule="auto"/>
      </w:pPr>
      <w:r>
        <w:separator/>
      </w:r>
    </w:p>
  </w:footnote>
  <w:footnote w:type="continuationSeparator" w:id="0">
    <w:p w14:paraId="395BF6AC" w14:textId="77777777" w:rsidR="00DA6BB7" w:rsidRDefault="00DA6BB7" w:rsidP="00FF7A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6E3FE" w14:textId="53D4C883" w:rsidR="00FF7AFC" w:rsidRDefault="00FF7AFC" w:rsidP="00FF7AFC">
    <w:pPr>
      <w:pStyle w:val="Nagwek"/>
      <w:jc w:val="right"/>
    </w:pPr>
    <w:r>
      <w:rPr>
        <w:noProof/>
      </w:rPr>
      <w:drawing>
        <wp:inline distT="0" distB="0" distL="0" distR="0" wp14:anchorId="251D1BDD" wp14:editId="062FB45A">
          <wp:extent cx="984163" cy="984163"/>
          <wp:effectExtent l="0" t="0" r="0" b="0"/>
          <wp:docPr id="138519447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194472" name="Obraz 1385194472"/>
                  <pic:cNvPicPr/>
                </pic:nvPicPr>
                <pic:blipFill>
                  <a:blip r:embed="rId1">
                    <a:extLst>
                      <a:ext uri="{28A0092B-C50C-407E-A947-70E740481C1C}">
                        <a14:useLocalDpi xmlns:a14="http://schemas.microsoft.com/office/drawing/2010/main" val="0"/>
                      </a:ext>
                    </a:extLst>
                  </a:blip>
                  <a:stretch>
                    <a:fillRect/>
                  </a:stretch>
                </pic:blipFill>
                <pic:spPr>
                  <a:xfrm>
                    <a:off x="0" y="0"/>
                    <a:ext cx="998170" cy="998170"/>
                  </a:xfrm>
                  <a:prstGeom prst="rect">
                    <a:avLst/>
                  </a:prstGeom>
                </pic:spPr>
              </pic:pic>
            </a:graphicData>
          </a:graphic>
        </wp:inline>
      </w:drawing>
    </w:r>
  </w:p>
  <w:p w14:paraId="71DADF99" w14:textId="77777777" w:rsidR="00FF7AFC" w:rsidRDefault="00FF7AFC" w:rsidP="00FF7AFC">
    <w:pPr>
      <w:pStyle w:val="Nagwek"/>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AFC"/>
    <w:rsid w:val="000B17B8"/>
    <w:rsid w:val="001511AE"/>
    <w:rsid w:val="00182E42"/>
    <w:rsid w:val="00316DA7"/>
    <w:rsid w:val="009D36E4"/>
    <w:rsid w:val="00A450D5"/>
    <w:rsid w:val="00B76EC2"/>
    <w:rsid w:val="00C875E9"/>
    <w:rsid w:val="00DA6BB7"/>
    <w:rsid w:val="00DE6EF6"/>
    <w:rsid w:val="00EF4539"/>
    <w:rsid w:val="00FF7AF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4:docId w14:val="2EE45825"/>
  <w15:chartTrackingRefBased/>
  <w15:docId w15:val="{A739AD72-F1A0-1542-8073-9BB05C6BD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FF7A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FF7A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FF7AFC"/>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FF7AFC"/>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FF7AFC"/>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FF7AFC"/>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FF7AFC"/>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FF7AFC"/>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FF7AFC"/>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F7AFC"/>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FF7AFC"/>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FF7AFC"/>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FF7AFC"/>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FF7AFC"/>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FF7AFC"/>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FF7AFC"/>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FF7AFC"/>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FF7AFC"/>
    <w:rPr>
      <w:rFonts w:eastAsiaTheme="majorEastAsia" w:cstheme="majorBidi"/>
      <w:color w:val="272727" w:themeColor="text1" w:themeTint="D8"/>
    </w:rPr>
  </w:style>
  <w:style w:type="paragraph" w:styleId="Tytu">
    <w:name w:val="Title"/>
    <w:basedOn w:val="Normalny"/>
    <w:next w:val="Normalny"/>
    <w:link w:val="TytuZnak"/>
    <w:uiPriority w:val="10"/>
    <w:qFormat/>
    <w:rsid w:val="00FF7A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FF7AFC"/>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FF7AFC"/>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FF7AFC"/>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FF7AFC"/>
    <w:pPr>
      <w:spacing w:before="160"/>
      <w:jc w:val="center"/>
    </w:pPr>
    <w:rPr>
      <w:i/>
      <w:iCs/>
      <w:color w:val="404040" w:themeColor="text1" w:themeTint="BF"/>
    </w:rPr>
  </w:style>
  <w:style w:type="character" w:customStyle="1" w:styleId="CytatZnak">
    <w:name w:val="Cytat Znak"/>
    <w:basedOn w:val="Domylnaczcionkaakapitu"/>
    <w:link w:val="Cytat"/>
    <w:uiPriority w:val="29"/>
    <w:rsid w:val="00FF7AFC"/>
    <w:rPr>
      <w:i/>
      <w:iCs/>
      <w:color w:val="404040" w:themeColor="text1" w:themeTint="BF"/>
    </w:rPr>
  </w:style>
  <w:style w:type="paragraph" w:styleId="Akapitzlist">
    <w:name w:val="List Paragraph"/>
    <w:basedOn w:val="Normalny"/>
    <w:uiPriority w:val="34"/>
    <w:qFormat/>
    <w:rsid w:val="00FF7AFC"/>
    <w:pPr>
      <w:ind w:left="720"/>
      <w:contextualSpacing/>
    </w:pPr>
  </w:style>
  <w:style w:type="character" w:styleId="Wyrnienieintensywne">
    <w:name w:val="Intense Emphasis"/>
    <w:basedOn w:val="Domylnaczcionkaakapitu"/>
    <w:uiPriority w:val="21"/>
    <w:qFormat/>
    <w:rsid w:val="00FF7AFC"/>
    <w:rPr>
      <w:i/>
      <w:iCs/>
      <w:color w:val="0F4761" w:themeColor="accent1" w:themeShade="BF"/>
    </w:rPr>
  </w:style>
  <w:style w:type="paragraph" w:styleId="Cytatintensywny">
    <w:name w:val="Intense Quote"/>
    <w:basedOn w:val="Normalny"/>
    <w:next w:val="Normalny"/>
    <w:link w:val="CytatintensywnyZnak"/>
    <w:uiPriority w:val="30"/>
    <w:qFormat/>
    <w:rsid w:val="00FF7A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FF7AFC"/>
    <w:rPr>
      <w:i/>
      <w:iCs/>
      <w:color w:val="0F4761" w:themeColor="accent1" w:themeShade="BF"/>
    </w:rPr>
  </w:style>
  <w:style w:type="character" w:styleId="Odwoanieintensywne">
    <w:name w:val="Intense Reference"/>
    <w:basedOn w:val="Domylnaczcionkaakapitu"/>
    <w:uiPriority w:val="32"/>
    <w:qFormat/>
    <w:rsid w:val="00FF7AFC"/>
    <w:rPr>
      <w:b/>
      <w:bCs/>
      <w:smallCaps/>
      <w:color w:val="0F4761" w:themeColor="accent1" w:themeShade="BF"/>
      <w:spacing w:val="5"/>
    </w:rPr>
  </w:style>
  <w:style w:type="paragraph" w:styleId="NormalnyWeb">
    <w:name w:val="Normal (Web)"/>
    <w:basedOn w:val="Normalny"/>
    <w:uiPriority w:val="99"/>
    <w:semiHidden/>
    <w:unhideWhenUsed/>
    <w:rsid w:val="00FF7AFC"/>
    <w:pPr>
      <w:spacing w:before="100" w:beforeAutospacing="1" w:after="100" w:afterAutospacing="1" w:line="240" w:lineRule="auto"/>
    </w:pPr>
    <w:rPr>
      <w:rFonts w:ascii="Times New Roman" w:eastAsia="Times New Roman" w:hAnsi="Times New Roman" w:cs="Times New Roman"/>
      <w:kern w:val="0"/>
      <w:lang w:eastAsia="pl-PL"/>
      <w14:ligatures w14:val="none"/>
    </w:rPr>
  </w:style>
  <w:style w:type="paragraph" w:styleId="Nagwek">
    <w:name w:val="header"/>
    <w:basedOn w:val="Normalny"/>
    <w:link w:val="NagwekZnak"/>
    <w:uiPriority w:val="99"/>
    <w:unhideWhenUsed/>
    <w:rsid w:val="00FF7AF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F7AFC"/>
  </w:style>
  <w:style w:type="paragraph" w:styleId="Stopka">
    <w:name w:val="footer"/>
    <w:basedOn w:val="Normalny"/>
    <w:link w:val="StopkaZnak"/>
    <w:uiPriority w:val="99"/>
    <w:unhideWhenUsed/>
    <w:rsid w:val="00FF7AF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F7AFC"/>
  </w:style>
  <w:style w:type="character" w:styleId="Pogrubienie">
    <w:name w:val="Strong"/>
    <w:basedOn w:val="Domylnaczcionkaakapitu"/>
    <w:uiPriority w:val="22"/>
    <w:qFormat/>
    <w:rsid w:val="00EF45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1129</Words>
  <Characters>7941</Characters>
  <Application>Microsoft Office Word</Application>
  <DocSecurity>0</DocSecurity>
  <Lines>118</Lines>
  <Paragraphs>23</Paragraphs>
  <ScaleCrop>false</ScaleCrop>
  <HeadingPairs>
    <vt:vector size="2" baseType="variant">
      <vt:variant>
        <vt:lpstr>Tytuł</vt:lpstr>
      </vt:variant>
      <vt:variant>
        <vt:i4>1</vt:i4>
      </vt:variant>
    </vt:vector>
  </HeadingPairs>
  <TitlesOfParts>
    <vt:vector size="1" baseType="lpstr">
      <vt:lpstr/>
    </vt:vector>
  </TitlesOfParts>
  <Manager/>
  <Company/>
  <LinksUpToDate>false</LinksUpToDate>
  <CharactersWithSpaces>9047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PTO</dc:creator>
  <cp:keywords/>
  <dc:description/>
  <cp:lastModifiedBy>Nikola Jennek</cp:lastModifiedBy>
  <cp:revision>4</cp:revision>
  <dcterms:created xsi:type="dcterms:W3CDTF">2025-11-26T11:09:00Z</dcterms:created>
  <dcterms:modified xsi:type="dcterms:W3CDTF">2025-11-26T12:06:00Z</dcterms:modified>
  <cp:category/>
</cp:coreProperties>
</file>